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rPr/>
      </w:pPr>
      <w:r>
        <w:rPr>
          <w:rFonts w:eastAsia="Calibri" w:cs="Calibri"/>
          <w:b/>
          <w:bCs/>
          <w:color w:val="20263E"/>
          <w:spacing w:val="80"/>
          <w:sz w:val="42"/>
          <w:szCs w:val="42"/>
        </w:rPr>
        <w:t>TODD SINCLAIR</w:t>
      </w:r>
    </w:p>
    <w:p>
      <w:pPr>
        <w:pStyle w:val="Normal"/>
        <w:spacing w:before="0" w:after="20"/>
        <w:rPr/>
      </w:pPr>
      <w:r>
        <w:rPr>
          <w:rFonts w:eastAsia="Calibri" w:cs="Calibri"/>
          <w:color w:val="5A5A5A"/>
          <w:sz w:val="20"/>
          <w:szCs w:val="20"/>
        </w:rPr>
        <w:t>360.447.8910</w:t>
      </w:r>
      <w:r>
        <w:rPr>
          <w:rFonts w:eastAsia="Calibri" w:cs="Calibri"/>
          <w:color w:val="B0B8C8"/>
          <w:sz w:val="20"/>
          <w:szCs w:val="20"/>
        </w:rPr>
        <w:t xml:space="preserve">     </w:t>
      </w:r>
      <w:r>
        <w:rPr>
          <w:rFonts w:eastAsia="Calibri" w:cs="Calibri"/>
          <w:color w:val="5A5A5A"/>
          <w:sz w:val="20"/>
          <w:szCs w:val="20"/>
        </w:rPr>
        <w:t>todd.sinclair@gmail.com</w:t>
      </w:r>
      <w:r>
        <w:rPr>
          <w:rFonts w:eastAsia="Calibri" w:cs="Calibri"/>
          <w:color w:val="B0B8C8"/>
          <w:sz w:val="20"/>
          <w:szCs w:val="20"/>
        </w:rPr>
        <w:t xml:space="preserve">     </w:t>
      </w:r>
      <w:r>
        <w:rPr>
          <w:rFonts w:eastAsia="Calibri" w:cs="Calibri"/>
          <w:color w:val="5A5A5A"/>
          <w:sz w:val="20"/>
          <w:szCs w:val="20"/>
        </w:rPr>
        <w:t>Coupeville, WA</w:t>
      </w:r>
    </w:p>
    <w:p>
      <w:pPr>
        <w:pStyle w:val="Normal"/>
        <w:spacing w:before="0" w:after="20"/>
        <w:rPr/>
      </w:pPr>
      <w:hyperlink r:id="rId2">
        <w:r>
          <w:rPr>
            <w:rStyle w:val="Style3"/>
            <w:rFonts w:eastAsia="Calibri" w:cs="Calibri"/>
            <w:color w:val="20263E"/>
            <w:sz w:val="20"/>
            <w:szCs w:val="20"/>
            <w:u w:val="none"/>
          </w:rPr>
          <w:t>toddsinclair.info</w:t>
        </w:r>
      </w:hyperlink>
      <w:r>
        <w:rPr>
          <w:rFonts w:eastAsia="Calibri" w:cs="Calibri"/>
          <w:color w:val="B0B8C8"/>
          <w:sz w:val="20"/>
          <w:szCs w:val="20"/>
          <w:u w:val="none"/>
        </w:rPr>
        <w:t xml:space="preserve">     </w:t>
      </w:r>
      <w:hyperlink r:id="rId3">
        <w:r>
          <w:rPr>
            <w:rStyle w:val="Style3"/>
            <w:rFonts w:eastAsia="Calibri" w:cs="Calibri"/>
            <w:color w:val="20263E"/>
            <w:sz w:val="20"/>
            <w:szCs w:val="20"/>
            <w:u w:val="none"/>
          </w:rPr>
          <w:t>linkedin.com/in/toddsinclair-technical-writer</w:t>
        </w:r>
      </w:hyperlink>
    </w:p>
    <w:p>
      <w:pPr>
        <w:pStyle w:val="Normal"/>
        <w:pBdr>
          <w:bottom w:val="single" w:sz="8" w:space="1" w:color="20263E"/>
        </w:pBdr>
        <w:spacing w:before="100" w:after="24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before="0" w:after="240"/>
        <w:rPr>
          <w:b w:val="false"/>
          <w:bCs w:val="false"/>
        </w:rPr>
      </w:pPr>
      <w:r>
        <w:rPr>
          <w:b w:val="false"/>
          <w:bCs w:val="false"/>
        </w:rPr>
        <w:t xml:space="preserve">I'm a technical writer and instructional designer with 15+ years of experience </w:t>
      </w:r>
      <w:r>
        <w:rPr>
          <w:b w:val="false"/>
          <w:bCs w:val="false"/>
        </w:rPr>
        <w:t>writing content,</w:t>
      </w:r>
      <w:r>
        <w:rPr>
          <w:b w:val="false"/>
          <w:bCs w:val="false"/>
        </w:rPr>
        <w:t xml:space="preserve"> building documentation systems, </w:t>
      </w:r>
      <w:r>
        <w:rPr>
          <w:b w:val="false"/>
          <w:bCs w:val="false"/>
        </w:rPr>
        <w:t xml:space="preserve">and </w:t>
      </w:r>
      <w:r>
        <w:rPr>
          <w:b w:val="false"/>
          <w:bCs w:val="false"/>
        </w:rPr>
        <w:t xml:space="preserve">training programs. I’ve worked across multiple industries to develop technical documentation, online learning courses, instructional videos, and marketing content that </w:t>
      </w:r>
      <w:r>
        <w:rPr>
          <w:b w:val="false"/>
          <w:bCs w:val="false"/>
        </w:rPr>
        <w:t>drive adoption and</w:t>
      </w:r>
      <w:r>
        <w:rPr>
          <w:b w:val="false"/>
          <w:bCs w:val="false"/>
        </w:rPr>
        <w:t xml:space="preserve"> provide real value to the reader. </w:t>
        <w:br/>
        <w:br/>
        <w:t xml:space="preserve">My current focus is integrating Generative AI into the content development process to improve quality, consistency, and turnaround without losing the human voice and judgment that good content requires. </w:t>
      </w:r>
    </w:p>
    <w:p>
      <w:pPr>
        <w:pStyle w:val="Normal"/>
        <w:pBdr>
          <w:bottom w:val="single" w:sz="4" w:space="4" w:color="20263E"/>
        </w:pBdr>
        <w:spacing w:before="360" w:after="120"/>
        <w:rPr/>
      </w:pPr>
      <w:r>
        <w:rPr>
          <w:rFonts w:eastAsia="Calibri" w:cs="Calibri"/>
          <w:b/>
          <w:bCs/>
          <w:color w:val="20263E"/>
          <w:spacing w:val="120"/>
          <w:sz w:val="22"/>
          <w:szCs w:val="22"/>
        </w:rPr>
        <w:t>SKILLS</w:t>
      </w:r>
    </w:p>
    <w:tbl>
      <w:tblPr>
        <w:tblW w:w="10080" w:type="dxa"/>
        <w:jc w:val="start"/>
        <w:tblInd w:w="0" w:type="dxa"/>
        <w:tblLayout w:type="fixed"/>
        <w:tblCellMar>
          <w:top w:w="50" w:type="dxa"/>
          <w:start w:w="0" w:type="dxa"/>
          <w:bottom w:w="50" w:type="dxa"/>
          <w:end w:w="120" w:type="dxa"/>
        </w:tblCellMar>
      </w:tblPr>
      <w:tblGrid>
        <w:gridCol w:w="2800"/>
        <w:gridCol w:w="7280"/>
      </w:tblGrid>
      <w:tr>
        <w:trPr/>
        <w:tc>
          <w:tcPr>
            <w:tcW w:w="28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b/>
                <w:bCs/>
                <w:color w:val="2D2D2D"/>
                <w:sz w:val="20"/>
                <w:szCs w:val="20"/>
              </w:rPr>
              <w:t>Writing and Documentation</w:t>
            </w:r>
          </w:p>
        </w:tc>
        <w:tc>
          <w:tcPr>
            <w:tcW w:w="7280" w:type="dxa"/>
            <w:tcBorders/>
            <w:tcMar>
              <w:start w:w="120" w:type="dxa"/>
              <w:end w:w="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A5A5A"/>
                <w:sz w:val="20"/>
                <w:szCs w:val="20"/>
              </w:rPr>
              <w:t>UX/UI docs, knowledge bases, help centers, white papers, release notes, style guides, content QA, Markdown, XML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b/>
                <w:bCs/>
                <w:color w:val="2D2D2D"/>
                <w:sz w:val="20"/>
                <w:szCs w:val="20"/>
              </w:rPr>
              <w:t>Instructional Design</w:t>
            </w:r>
          </w:p>
        </w:tc>
        <w:tc>
          <w:tcPr>
            <w:tcW w:w="7280" w:type="dxa"/>
            <w:tcBorders/>
            <w:tcMar>
              <w:start w:w="120" w:type="dxa"/>
              <w:end w:w="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A5A5A"/>
                <w:sz w:val="20"/>
                <w:szCs w:val="20"/>
              </w:rPr>
              <w:t>Curriculum design (OLT/ILT), storyboarding, LMS admin (SkillJar, Evolve), video tutorials, assessments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b/>
                <w:bCs/>
                <w:color w:val="2D2D2D"/>
                <w:sz w:val="20"/>
                <w:szCs w:val="20"/>
              </w:rPr>
              <w:t>AI Content Strategy</w:t>
            </w:r>
          </w:p>
        </w:tc>
        <w:tc>
          <w:tcPr>
            <w:tcW w:w="7280" w:type="dxa"/>
            <w:tcBorders/>
            <w:tcMar>
              <w:start w:w="120" w:type="dxa"/>
              <w:end w:w="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A5A5A"/>
                <w:sz w:val="20"/>
                <w:szCs w:val="20"/>
              </w:rPr>
              <w:t>Gen AI workflows, prompt engineering, AI-powered editing and scoping, NotebookLM, Claude, ChatGPT, Gemini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b/>
                <w:bCs/>
                <w:color w:val="2D2D2D"/>
                <w:sz w:val="20"/>
                <w:szCs w:val="20"/>
              </w:rPr>
              <w:t>Authoring and Production</w:t>
            </w:r>
          </w:p>
        </w:tc>
        <w:tc>
          <w:tcPr>
            <w:tcW w:w="7280" w:type="dxa"/>
            <w:tcBorders/>
            <w:tcMar>
              <w:start w:w="120" w:type="dxa"/>
              <w:end w:w="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A5A5A"/>
                <w:sz w:val="20"/>
                <w:szCs w:val="20"/>
              </w:rPr>
              <w:t>Camtasia, Snagit, Adobe Creative Suite, Articulate Rise, Vyond, Lucidchart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b/>
                <w:bCs/>
                <w:color w:val="2D2D2D"/>
                <w:sz w:val="20"/>
                <w:szCs w:val="20"/>
              </w:rPr>
              <w:t>Platforms</w:t>
            </w:r>
          </w:p>
        </w:tc>
        <w:tc>
          <w:tcPr>
            <w:tcW w:w="7280" w:type="dxa"/>
            <w:tcBorders/>
            <w:tcMar>
              <w:start w:w="120" w:type="dxa"/>
              <w:end w:w="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A5A5A"/>
                <w:sz w:val="20"/>
                <w:szCs w:val="20"/>
              </w:rPr>
              <w:t>Confluence, GitHub, Jira, Zendesk, Salesforce, Miro, Smartsheet, Buganizer</w:t>
            </w:r>
          </w:p>
        </w:tc>
      </w:tr>
    </w:tbl>
    <w:p>
      <w:pPr>
        <w:pStyle w:val="Normal"/>
        <w:pBdr>
          <w:bottom w:val="single" w:sz="4" w:space="4" w:color="20263E"/>
        </w:pBdr>
        <w:spacing w:before="360" w:after="120"/>
        <w:rPr/>
      </w:pPr>
      <w:r>
        <w:rPr>
          <w:rFonts w:eastAsia="Calibri" w:cs="Calibri"/>
          <w:b/>
          <w:bCs/>
          <w:color w:val="20263E"/>
          <w:spacing w:val="120"/>
          <w:sz w:val="22"/>
          <w:szCs w:val="22"/>
        </w:rPr>
        <w:t>EXPERIENCE</w:t>
      </w:r>
    </w:p>
    <w:p>
      <w:pPr>
        <w:pStyle w:val="Normal"/>
        <w:tabs>
          <w:tab w:val="clear" w:pos="720"/>
          <w:tab w:val="right" w:pos="9026" w:leader="none"/>
        </w:tabs>
        <w:spacing w:before="300" w:after="40"/>
        <w:rPr/>
      </w:pPr>
      <w:r>
        <w:rPr>
          <w:rFonts w:eastAsia="Calibri" w:cs="Calibri"/>
          <w:b/>
          <w:bCs/>
          <w:color w:val="2D2D2D"/>
          <w:sz w:val="22"/>
          <w:szCs w:val="22"/>
        </w:rPr>
        <w:t>EPAM</w:t>
      </w:r>
      <w:r>
        <w:rPr>
          <w:rFonts w:eastAsia="Calibri" w:cs="Calibri"/>
          <w:color w:val="5A5A5A"/>
          <w:sz w:val="20"/>
          <w:szCs w:val="20"/>
        </w:rPr>
        <w:t xml:space="preserve">  •  Digital Engineering &amp; Consulting</w:t>
        <w:tab/>
        <w:t xml:space="preserve">Nov 2022 – </w:t>
      </w:r>
      <w:r>
        <w:rPr>
          <w:rFonts w:eastAsia="Calibri" w:cs="Calibri"/>
          <w:color w:val="5A5A5A"/>
          <w:sz w:val="20"/>
          <w:szCs w:val="20"/>
        </w:rPr>
        <w:t xml:space="preserve">March </w:t>
      </w:r>
      <w:r>
        <w:rPr>
          <w:rFonts w:eastAsia="Calibri" w:cs="Calibri"/>
          <w:color w:val="5A5A5A"/>
          <w:sz w:val="20"/>
          <w:szCs w:val="20"/>
        </w:rPr>
        <w:t>2026</w:t>
      </w:r>
    </w:p>
    <w:p>
      <w:pPr>
        <w:pStyle w:val="Normal"/>
        <w:spacing w:before="0" w:after="100"/>
        <w:rPr/>
      </w:pPr>
      <w:r>
        <w:rPr>
          <w:rFonts w:eastAsia="Calibri" w:cs="Calibri"/>
          <w:i/>
          <w:iCs/>
          <w:color w:val="20263E"/>
          <w:sz w:val="20"/>
          <w:szCs w:val="20"/>
        </w:rPr>
        <w:t>Technical Writer / Instructional Designer</w:t>
      </w:r>
    </w:p>
    <w:p>
      <w:pPr>
        <w:pStyle w:val="Normal"/>
        <w:spacing w:before="40" w:after="80"/>
        <w:rPr/>
      </w:pPr>
      <w:r>
        <w:rPr>
          <w:rFonts w:eastAsia="Calibri" w:cs="Calibri"/>
          <w:i/>
          <w:iCs/>
          <w:color w:val="5A5A5A"/>
          <w:sz w:val="20"/>
          <w:szCs w:val="20"/>
        </w:rPr>
        <w:t>Created instructional design materials and technical writing across enterprise client engagements, building documentation systems, training programs, and AI-powered content workflows from scratch.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>Cut content scoping and drafting time from days to hours by designing a Generative AI pipeline (NotebookLM + Gemini) for a commercial real estate engagement. The process uses AI to assist content developers to scope, draft, review, and publish content in days rather than weeks.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>Reduced revision cycles across a distributed writing team by building a prompt library aligned to the client’s style guide, enabling writers to self-review drafts against specific editorial rules before sending for QA review.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 xml:space="preserve">Provided an improved training experience for new financial advisors by replacing four outdated training courses with a single streamlined online course; I delivered end-to-end from storyboard through publication, including scenario-based exercises, interactive activities, and a knowledge assessment. 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 xml:space="preserve">Improved end-user experiences by designing and/or refreshing multiple help centers, e-learning modules, and training videos for a wide range of enterprise software tools across multiple client engagements. </w:t>
      </w:r>
    </w:p>
    <w:p>
      <w:pPr>
        <w:pStyle w:val="BodyText"/>
        <w:spacing w:before="60" w:after="60"/>
        <w:rPr/>
      </w:pPr>
      <w:r>
        <w:rPr/>
      </w:r>
    </w:p>
    <w:p>
      <w:pPr>
        <w:pStyle w:val="BodyText"/>
        <w:spacing w:before="60" w:after="60"/>
        <w:rPr/>
      </w:pPr>
      <w:r>
        <w:rPr/>
      </w:r>
    </w:p>
    <w:p>
      <w:pPr>
        <w:pStyle w:val="BodyText"/>
        <w:spacing w:before="60" w:after="60"/>
        <w:rPr/>
      </w:pPr>
      <w:r>
        <w:rPr/>
      </w:r>
    </w:p>
    <w:p>
      <w:pPr>
        <w:pStyle w:val="BodyText"/>
        <w:spacing w:before="60" w:after="60"/>
        <w:rPr/>
      </w:pPr>
      <w:r>
        <w:rPr/>
      </w:r>
    </w:p>
    <w:p>
      <w:pPr>
        <w:pStyle w:val="BodyText"/>
        <w:spacing w:before="60" w:after="60"/>
        <w:rPr/>
      </w:pPr>
      <w:r>
        <w:rPr/>
      </w:r>
    </w:p>
    <w:p>
      <w:pPr>
        <w:pStyle w:val="Normal"/>
        <w:tabs>
          <w:tab w:val="clear" w:pos="720"/>
          <w:tab w:val="right" w:pos="9026" w:leader="none"/>
        </w:tabs>
        <w:spacing w:before="300" w:after="40"/>
        <w:rPr/>
      </w:pPr>
      <w:r>
        <w:rPr>
          <w:rFonts w:eastAsia="Calibri" w:cs="Calibri"/>
          <w:b/>
          <w:bCs/>
          <w:color w:val="2D2D2D"/>
          <w:sz w:val="22"/>
          <w:szCs w:val="22"/>
        </w:rPr>
        <w:t xml:space="preserve">Steyer </w:t>
      </w:r>
      <w:r>
        <w:rPr>
          <w:rFonts w:eastAsia="Calibri" w:cs="Calibri"/>
          <w:b/>
          <w:bCs/>
          <w:color w:val="2D2D2D"/>
          <w:sz w:val="22"/>
          <w:szCs w:val="22"/>
        </w:rPr>
        <w:t>Associates</w:t>
      </w:r>
      <w:r>
        <w:rPr>
          <w:rFonts w:eastAsia="Calibri" w:cs="Calibri"/>
          <w:color w:val="5A5A5A"/>
          <w:sz w:val="20"/>
          <w:szCs w:val="20"/>
        </w:rPr>
        <w:t xml:space="preserve">  •  Consulting</w:t>
        <w:tab/>
        <w:t>Jan 2021 – Sep 2025</w:t>
      </w:r>
    </w:p>
    <w:p>
      <w:pPr>
        <w:pStyle w:val="Normal"/>
        <w:spacing w:before="0" w:after="100"/>
        <w:rPr/>
      </w:pPr>
      <w:r>
        <w:rPr>
          <w:rFonts w:eastAsia="Calibri" w:cs="Calibri"/>
          <w:i/>
          <w:iCs/>
          <w:color w:val="20263E"/>
          <w:sz w:val="20"/>
          <w:szCs w:val="20"/>
        </w:rPr>
        <w:t>Technical Writer / Content Designer</w:t>
      </w:r>
    </w:p>
    <w:p>
      <w:pPr>
        <w:pStyle w:val="Normal"/>
        <w:spacing w:before="40" w:after="80"/>
        <w:rPr>
          <w:rFonts w:eastAsia="Calibri" w:cs="Calibri"/>
          <w:i/>
          <w:iCs/>
          <w:color w:val="5A5A5A"/>
          <w:sz w:val="20"/>
          <w:szCs w:val="20"/>
        </w:rPr>
      </w:pPr>
      <w:r>
        <w:rPr>
          <w:rFonts w:eastAsia="Calibri" w:cs="Calibri"/>
          <w:i/>
          <w:iCs/>
          <w:color w:val="5A5A5A"/>
          <w:sz w:val="20"/>
          <w:szCs w:val="20"/>
        </w:rPr>
        <w:t>Consulted across enterprise engagements for software, rideshare, and machine learning clients. Transitioned to part-time after joining EPAM in November 2022.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60" w:after="60"/>
        <w:jc w:val="start"/>
        <w:rPr>
          <w:rFonts w:ascii="Calibri" w:hAnsi="Calibri" w:eastAsia="Calibri" w:cs="Calibri"/>
          <w:color w:val="2D2D2D"/>
          <w:kern w:val="0"/>
          <w:sz w:val="20"/>
          <w:szCs w:val="20"/>
          <w:lang w:val="en-US" w:eastAsia="zh-CN" w:bidi="hi-IN"/>
        </w:rPr>
      </w:pPr>
      <w:r>
        <w:rPr>
          <w:rFonts w:eastAsia="Calibri" w:cs="Calibri"/>
          <w:color w:val="2D2D2D"/>
          <w:kern w:val="0"/>
          <w:sz w:val="20"/>
          <w:szCs w:val="20"/>
          <w:lang w:val="en-US" w:eastAsia="zh-CN" w:bidi="hi-IN"/>
        </w:rPr>
        <w:t>Software - Content Creator</w:t>
        <w:br/>
        <w:t>Authored and maintained customer support content for the Microsoft Office suite, including new support articles, feature documentation, What’s New pages, and in-product feature strings.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60" w:after="60"/>
        <w:jc w:val="start"/>
        <w:rPr>
          <w:rFonts w:ascii="Calibri" w:hAnsi="Calibri" w:eastAsia="Calibri" w:cs="Calibri"/>
          <w:color w:val="2D2D2D"/>
          <w:kern w:val="0"/>
          <w:sz w:val="20"/>
          <w:szCs w:val="20"/>
          <w:lang w:val="en-US" w:eastAsia="zh-CN" w:bidi="hi-IN"/>
        </w:rPr>
      </w:pPr>
      <w:r>
        <w:rPr>
          <w:rFonts w:eastAsia="Calibri" w:cs="Calibri"/>
          <w:color w:val="2D2D2D"/>
          <w:kern w:val="0"/>
          <w:sz w:val="20"/>
          <w:szCs w:val="20"/>
          <w:lang w:val="en-US" w:eastAsia="zh-CN" w:bidi="hi-IN"/>
        </w:rPr>
        <w:t>Rideshare - Copywriter and Content Designer</w:t>
        <w:br/>
        <w:t>Consulted on a customer support content refresh: rewrote articles for tone and readability, built templates and style guidelines for phone/chat agents, performed editorial review on AI-generated articles, and drafted customer-facing email templates.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before="60" w:after="60"/>
        <w:jc w:val="start"/>
        <w:rPr>
          <w:rFonts w:ascii="Calibri" w:hAnsi="Calibri" w:eastAsia="Calibri" w:cs="Calibri"/>
          <w:color w:val="2D2D2D"/>
          <w:kern w:val="0"/>
          <w:sz w:val="20"/>
          <w:szCs w:val="20"/>
          <w:lang w:val="en-US" w:eastAsia="zh-CN" w:bidi="hi-IN"/>
        </w:rPr>
      </w:pPr>
      <w:r>
        <w:rPr>
          <w:rFonts w:eastAsia="Calibri" w:cs="Calibri"/>
          <w:color w:val="2D2D2D"/>
          <w:kern w:val="0"/>
          <w:sz w:val="20"/>
          <w:szCs w:val="20"/>
          <w:lang w:val="en-US" w:eastAsia="zh-CN" w:bidi="hi-IN"/>
        </w:rPr>
        <w:t>Machine learning - Technical Marketing Writer</w:t>
        <w:br/>
        <w:t xml:space="preserve">Authored blog posts, e-book chapters, and podcast abstracts for an AI/ML platform company, translating technical concepts for a </w:t>
      </w:r>
      <w:r>
        <w:rPr>
          <w:rFonts w:eastAsia="Calibri" w:cs="Calibri"/>
          <w:color w:val="2D2D2D"/>
          <w:kern w:val="0"/>
          <w:sz w:val="20"/>
          <w:szCs w:val="20"/>
          <w:lang w:val="en-US" w:eastAsia="zh-CN" w:bidi="hi-IN"/>
        </w:rPr>
        <w:t xml:space="preserve">broad </w:t>
      </w:r>
      <w:r>
        <w:rPr>
          <w:rFonts w:eastAsia="Calibri" w:cs="Calibri"/>
          <w:color w:val="2D2D2D"/>
          <w:kern w:val="0"/>
          <w:sz w:val="20"/>
          <w:szCs w:val="20"/>
          <w:lang w:val="en-US" w:eastAsia="zh-CN" w:bidi="hi-IN"/>
        </w:rPr>
        <w:t>audience.</w:t>
      </w:r>
    </w:p>
    <w:p>
      <w:pPr>
        <w:pStyle w:val="Normal"/>
        <w:tabs>
          <w:tab w:val="clear" w:pos="720"/>
          <w:tab w:val="right" w:pos="9026" w:leader="none"/>
        </w:tabs>
        <w:spacing w:before="300" w:after="40"/>
        <w:rPr/>
      </w:pPr>
      <w:r>
        <w:rPr>
          <w:rFonts w:eastAsia="Calibri" w:cs="Calibri"/>
          <w:b/>
          <w:bCs/>
          <w:color w:val="2D2D2D"/>
          <w:sz w:val="22"/>
          <w:szCs w:val="22"/>
        </w:rPr>
        <w:t>MITS (WhiteCup)</w:t>
      </w:r>
      <w:r>
        <w:rPr>
          <w:rFonts w:eastAsia="Calibri" w:cs="Calibri"/>
          <w:color w:val="5A5A5A"/>
          <w:sz w:val="20"/>
          <w:szCs w:val="20"/>
        </w:rPr>
        <w:t xml:space="preserve">  •  Business Intelligence &amp; CRM Software</w:t>
        <w:tab/>
        <w:t>Oct 2013 – Feb 2021</w:t>
      </w:r>
    </w:p>
    <w:p>
      <w:pPr>
        <w:pStyle w:val="Normal"/>
        <w:spacing w:before="0" w:after="100"/>
        <w:rPr/>
      </w:pPr>
      <w:r>
        <w:rPr>
          <w:rFonts w:eastAsia="Calibri" w:cs="Calibri"/>
          <w:i/>
          <w:iCs/>
          <w:color w:val="20263E"/>
          <w:sz w:val="20"/>
          <w:szCs w:val="20"/>
        </w:rPr>
        <w:t>Technical Writer / Instructional Designer</w:t>
      </w:r>
    </w:p>
    <w:p>
      <w:pPr>
        <w:pStyle w:val="Normal"/>
        <w:spacing w:before="40" w:after="80"/>
        <w:rPr/>
      </w:pPr>
      <w:r>
        <w:rPr>
          <w:rFonts w:eastAsia="Calibri" w:cs="Calibri"/>
          <w:i/>
          <w:iCs/>
          <w:color w:val="5A5A5A"/>
          <w:sz w:val="20"/>
          <w:szCs w:val="20"/>
        </w:rPr>
        <w:t xml:space="preserve">Started in product support, then transitioned into the company’s lead writer and training specialist. Ultimately owned all technical documentation, customer education programs, and </w:t>
      </w:r>
      <w:r>
        <w:rPr>
          <w:rFonts w:eastAsia="Calibri" w:cs="Calibri"/>
          <w:i/>
          <w:iCs/>
          <w:color w:val="5A5A5A"/>
          <w:sz w:val="20"/>
          <w:szCs w:val="20"/>
        </w:rPr>
        <w:t xml:space="preserve">contributed to </w:t>
      </w:r>
      <w:r>
        <w:rPr>
          <w:rFonts w:eastAsia="Calibri" w:cs="Calibri"/>
          <w:i/>
          <w:iCs/>
          <w:color w:val="5A5A5A"/>
          <w:sz w:val="20"/>
          <w:szCs w:val="20"/>
        </w:rPr>
        <w:t>marketing content.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>Owned the company’s entire documentation ecosystem, including UI/UX docs, knowledge base, best-practice guides, white papers, release notes, and internal documentation.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>Drove measurable product adoption by implementing an LMS from scratch and creating self-serve training programs, video tutorials, and a New User Boot Camp.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>Empowered customers by hosting live webinars, one-on-one training sessions, and ongoing education p</w:t>
      </w:r>
      <w:r>
        <w:rPr/>
        <w:t>ro</w:t>
      </w:r>
      <w:r>
        <w:rPr/>
        <w:t xml:space="preserve">grams. </w:t>
      </w:r>
    </w:p>
    <w:p>
      <w:pPr>
        <w:pStyle w:val="BodyText"/>
        <w:numPr>
          <w:ilvl w:val="0"/>
          <w:numId w:val="1"/>
        </w:numPr>
        <w:spacing w:before="60" w:after="60"/>
        <w:rPr/>
      </w:pPr>
      <w:r>
        <w:rPr/>
        <w:t xml:space="preserve">Improved customer engagement with marketing and sales by contributing to blog posts, presales collateral, product proposals, and customer-facing release communications. </w:t>
      </w:r>
    </w:p>
    <w:p>
      <w:pPr>
        <w:pStyle w:val="Normal"/>
        <w:pBdr>
          <w:bottom w:val="single" w:sz="4" w:space="4" w:color="20263E"/>
        </w:pBdr>
        <w:spacing w:before="360" w:after="120"/>
        <w:rPr/>
      </w:pPr>
      <w:r>
        <w:rPr>
          <w:rFonts w:eastAsia="Calibri" w:cs="Calibri"/>
          <w:b/>
          <w:bCs/>
          <w:color w:val="20263E"/>
          <w:spacing w:val="120"/>
          <w:sz w:val="22"/>
          <w:szCs w:val="22"/>
        </w:rPr>
        <w:t>CERTIFICATIONS</w:t>
      </w:r>
    </w:p>
    <w:p>
      <w:pPr>
        <w:pStyle w:val="Normal"/>
        <w:spacing w:before="100" w:after="40"/>
        <w:rPr>
          <w:rFonts w:eastAsia="Calibri" w:cs="Calibri"/>
          <w:color w:val="5A5A5A"/>
          <w:sz w:val="20"/>
          <w:szCs w:val="20"/>
        </w:rPr>
      </w:pPr>
      <w:r>
        <w:rPr>
          <w:rStyle w:val="Strong"/>
          <w:rFonts w:eastAsia="Calibri" w:cs="Calibri"/>
          <w:color w:val="5A5A5A"/>
          <w:sz w:val="20"/>
          <w:szCs w:val="20"/>
        </w:rPr>
        <w:t>Google Cloud Platform</w:t>
      </w:r>
      <w:r>
        <w:rPr>
          <w:rFonts w:eastAsia="Calibri" w:cs="Calibri"/>
          <w:color w:val="5A5A5A"/>
          <w:sz w:val="20"/>
          <w:szCs w:val="20"/>
        </w:rPr>
        <w:t> – Generative AI Leadership</w:t>
        <w:br/>
      </w:r>
      <w:r>
        <w:rPr>
          <w:rStyle w:val="Strong"/>
          <w:rFonts w:eastAsia="Calibri" w:cs="Calibri"/>
          <w:color w:val="5A5A5A"/>
          <w:sz w:val="20"/>
          <w:szCs w:val="20"/>
        </w:rPr>
        <w:t>Salesforce</w:t>
      </w:r>
      <w:r>
        <w:rPr>
          <w:rFonts w:eastAsia="Calibri" w:cs="Calibri"/>
          <w:color w:val="5A5A5A"/>
          <w:sz w:val="20"/>
          <w:szCs w:val="20"/>
        </w:rPr>
        <w:t> – Salesforce Certified Platform Foundations</w:t>
        <w:br/>
      </w:r>
      <w:r>
        <w:rPr>
          <w:rStyle w:val="Strong"/>
          <w:rFonts w:eastAsia="Calibri" w:cs="Calibri"/>
          <w:color w:val="5A5A5A"/>
          <w:sz w:val="20"/>
          <w:szCs w:val="20"/>
        </w:rPr>
        <w:t>Anthropic</w:t>
      </w:r>
      <w:r>
        <w:rPr>
          <w:rFonts w:eastAsia="Calibri" w:cs="Calibri"/>
          <w:color w:val="5A5A5A"/>
          <w:sz w:val="20"/>
          <w:szCs w:val="20"/>
        </w:rPr>
        <w:t xml:space="preserve"> – AI Fluency: Framework &amp; Foundations, Claude Cowork, and Claude 101 </w:t>
      </w:r>
    </w:p>
    <w:p>
      <w:pPr>
        <w:pStyle w:val="Normal"/>
        <w:pBdr>
          <w:bottom w:val="single" w:sz="4" w:space="4" w:color="20263E"/>
        </w:pBdr>
        <w:spacing w:before="360" w:after="120"/>
        <w:rPr/>
      </w:pPr>
      <w:r>
        <w:rPr>
          <w:rFonts w:eastAsia="Calibri" w:cs="Calibri"/>
          <w:b/>
          <w:bCs/>
          <w:color w:val="20263E"/>
          <w:spacing w:val="120"/>
          <w:sz w:val="22"/>
          <w:szCs w:val="22"/>
        </w:rPr>
        <w:t>EDUCATION</w:t>
      </w:r>
    </w:p>
    <w:p>
      <w:pPr>
        <w:pStyle w:val="Normal"/>
        <w:spacing w:before="100" w:after="100"/>
        <w:rPr/>
      </w:pPr>
      <w:r>
        <w:rPr>
          <w:rFonts w:eastAsia="Calibri" w:cs="Calibri"/>
          <w:b/>
          <w:bCs/>
          <w:color w:val="2D2D2D"/>
          <w:sz w:val="20"/>
          <w:szCs w:val="20"/>
        </w:rPr>
        <w:t>University of Oregon</w:t>
      </w:r>
      <w:r>
        <w:rPr>
          <w:rFonts w:eastAsia="Calibri" w:cs="Calibri"/>
          <w:color w:val="5A5A5A"/>
          <w:sz w:val="20"/>
          <w:szCs w:val="20"/>
        </w:rPr>
        <w:t xml:space="preserve">  –  Coursework in Computer Science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360" w:hanging="360"/>
      </w:pPr>
      <w:rPr>
        <w:rFonts w:ascii="Calibri" w:hAnsi="Calibri" w:cs="Calibri" w:hint="default"/>
        <w:color w:val="20263E"/>
        <w:sz w:val="20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2D2D2D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2D2D2D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2D2D2D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2D2D2D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040" w:leader="none"/>
        <w:tab w:val="right" w:pos="10080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ddsinclair.info/" TargetMode="External"/><Relationship Id="rId3" Type="http://schemas.openxmlformats.org/officeDocument/2006/relationships/hyperlink" Target="https://linkedin.com/in/toddsinclair-technical-writer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LibreOffice/25.8.5.2$Windows_X86_64 LibreOffice_project/9c8b85f387cc00a89945a79c9e6239f32e450ac2</Application>
  <AppVersion>15.0000</AppVersion>
  <Pages>2</Pages>
  <Words>621</Words>
  <Characters>4122</Characters>
  <CharactersWithSpaces>4727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2026-03-29T00:30:25Z</dcterms:created>
  <dc:creator>Un-named</dc:creator>
  <dc:description/>
  <dc:language>en-US</dc:language>
  <cp:lastModifiedBy/>
  <dcterms:modified xsi:type="dcterms:W3CDTF">2026-04-01T10:29:38Z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